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149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4962" w:rsidRDefault="00702D1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14962" w:rsidRDefault="00702D1A">
            <w:pPr>
              <w:spacing w:after="0" w:line="240" w:lineRule="auto"/>
            </w:pPr>
            <w:r>
              <w:t>8408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4962" w:rsidRDefault="00702D1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14962" w:rsidRDefault="00702D1A">
            <w:pPr>
              <w:spacing w:after="0" w:line="240" w:lineRule="auto"/>
            </w:pPr>
            <w:r>
              <w:t>OSNOVNA ŠKOLA MOLVE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14962" w:rsidRDefault="00702D1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14962" w:rsidRDefault="00702D1A">
            <w:pPr>
              <w:spacing w:after="0" w:line="240" w:lineRule="auto"/>
            </w:pPr>
            <w:r>
              <w:t>31</w:t>
            </w:r>
          </w:p>
        </w:tc>
      </w:tr>
    </w:tbl>
    <w:p w:rsidR="00A14962" w:rsidRDefault="00702D1A">
      <w:r>
        <w:br/>
      </w:r>
    </w:p>
    <w:p w:rsidR="00A14962" w:rsidRDefault="00702D1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14962" w:rsidRDefault="00702D1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14962" w:rsidRDefault="00702D1A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1.160.545,16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1.244.877,60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1.148.900,66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1.331.036,82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A1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86.159,22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14.732,64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6.838,32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46,4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A1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14.732,64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6.574,68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44,6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A1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A1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3.088,14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92.733,90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3002,9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 xml:space="preserve">Početkom 2025. godine postoji preneseni manjak prihoda poslovanja u iznosu od 1.654,54 eura koji je dobiven prebijanjem viškova i manjkova prema istovrsnim kategorijama. Nadalje, rezultat poslovanja na kraju 2025. godine iznosi -92.733,90 eura. Uključivši </w:t>
      </w:r>
      <w:r>
        <w:t>preneseni manjak, dobije se manjak prihoda i primitaka raspoloživ u sljedećem razdoblju u iznosu od 94.388,44 eura. Sukladno Pravilniku o proračunskom računovodstvu i računskom planu koji je stupio na snagu 01.01.2025. godine, proknjižena je plaća za 12/20</w:t>
      </w:r>
      <w:r>
        <w:t xml:space="preserve">25 sa 31.12.2025. Ona </w:t>
      </w:r>
      <w:r>
        <w:lastRenderedPageBreak/>
        <w:t>ujedno predstavlja 13. rashod u ovom godišnjem izvještaju. Zbog navedene činjenice veliki dio manjka prihoda i primitaka te nedospjelih obveza je u velikom iznosu.</w:t>
      </w:r>
    </w:p>
    <w:p w:rsidR="00A14962" w:rsidRDefault="00702D1A">
      <w:r>
        <w:br/>
      </w:r>
    </w:p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251,4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>U 2025. godini je ostvareno više prihoda od tekućih prijenosa proračunskih korisnika istog proračuna zbog zapošljavanja 3 pomoćnika u nastavi u okviru projekta Prilika za sve 7. U školskoj godini 2024./2025. bio je zaposlen 1 pomoćnik u nastavi. Osim naved</w:t>
      </w:r>
      <w:r>
        <w:t>enog projekta, na navedenom računu se knjiži dugogodišnji projekt Školske sheme mlijeka i voća.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181,9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>U 2025. godini je donirano više knjiga za knjižnicu u odnosu na 2024. godinu.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140,6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>U 2025. godini je ostvareno više rashoda za službenu, radnu i zaštitnu odjeću i obuću u odnosu na 2024. godinu zbog povećane potrebe.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173,5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lastRenderedPageBreak/>
        <w:t xml:space="preserve">U 2025. godini je ostvareno više rashoda za komunalne usluge zbog obveznih </w:t>
      </w:r>
      <w:proofErr w:type="spellStart"/>
      <w:r>
        <w:t>dimnačarskih</w:t>
      </w:r>
      <w:proofErr w:type="spellEnd"/>
      <w:r>
        <w:t xml:space="preserve"> usluga koje se provode dva puta godišnje, što je propisano od koncesionara.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225,0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 xml:space="preserve">U 2025. godini je ostvareno više rashoda za intelektualne i osobne usluge zbog ugovaranja i isplate ugovora o autorskom djelu koji se odnosi na snimanje i aranžmana pjesme za nastup na </w:t>
      </w:r>
      <w:proofErr w:type="spellStart"/>
      <w:r>
        <w:t>Kukuričeku</w:t>
      </w:r>
      <w:proofErr w:type="spellEnd"/>
      <w:r>
        <w:t xml:space="preserve"> 2025. godine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148,6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>U 2025. godini je ostvareno više rashoda za reprezentaciju u odnosu na 2024. godinu zbog povećane potrebe.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91.282,80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9694,3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>U 2025. godini je iznos obračunatih prihoda poslovanja veći u odnosu na 2024. godinu zbog knjiženja obračuna plaća za 12/2025 sa 31.12.2025.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90.612,83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lastRenderedPageBreak/>
        <w:t>Obračunata i proknjižena plaća za 12/2025, ujedno predstavlja 13. rashod u 2025. godini zbog novog Pravilnika o proračunskom računovodstvu i računskom planu koji je stupio na snagu 01.01.2025. godine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</w:t>
            </w:r>
            <w:r>
              <w:rPr>
                <w:b/>
                <w:sz w:val="18"/>
              </w:rPr>
              <w:t>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-1.654,54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-94.388,44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5704,8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>Prebijanjem viškova i manjkova po istovrsnim izvorima financiranja i aktivnostima napravljena je obvezna korekcija rezultata poslovanja te se ukupni financijski rezultat sastoji od manjka prihoda poslovanja u iznosu 94.652,08 eura i viška prihoda od nefina</w:t>
      </w:r>
      <w:r>
        <w:t>ncijske imovine u iznosu 263,64 eura.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90.612,83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>Obračunata i proknjižena plaća za 12/2025, ujedno predstavlja 13. rashod u 2025. godini zbog novog Pravilnika o proračunskom računovodstvu i računskom planu koji je stupio na snagu 01.01.2025. godine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A1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53.397,73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 xml:space="preserve">Vrijednost amortizacije i </w:t>
      </w:r>
      <w:proofErr w:type="spellStart"/>
      <w:r>
        <w:t>isknjiženje</w:t>
      </w:r>
      <w:proofErr w:type="spellEnd"/>
      <w:r>
        <w:t xml:space="preserve"> dugotrajne nefinancijske imovine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4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49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A149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14962" w:rsidRDefault="00702D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14962" w:rsidRDefault="00A14962">
      <w:pPr>
        <w:spacing w:after="0"/>
      </w:pPr>
    </w:p>
    <w:p w:rsidR="00A14962" w:rsidRDefault="00702D1A">
      <w:r>
        <w:t>U 2025. godini Osnovna škola Molve nema dospjelih obveza. </w:t>
      </w:r>
    </w:p>
    <w:p w:rsidR="00A14962" w:rsidRDefault="00A14962"/>
    <w:p w:rsidR="00A14962" w:rsidRDefault="00702D1A">
      <w:pPr>
        <w:keepNext/>
        <w:spacing w:line="240" w:lineRule="auto"/>
        <w:jc w:val="center"/>
      </w:pPr>
      <w:r>
        <w:rPr>
          <w:sz w:val="28"/>
        </w:rPr>
        <w:t>Bilješka 14.</w:t>
      </w:r>
    </w:p>
    <w:p w:rsidR="00A14962" w:rsidRDefault="00702D1A">
      <w:pPr>
        <w:spacing w:line="240" w:lineRule="auto"/>
        <w:jc w:val="both"/>
      </w:pPr>
      <w:r>
        <w:rPr>
          <w:b/>
        </w:rPr>
        <w:t>EU izvještaj</w:t>
      </w:r>
    </w:p>
    <w:p w:rsidR="00A14962" w:rsidRDefault="00702D1A">
      <w:r>
        <w:t>U EU izvještaj su upisani prihodi i rashodi za sljedeće projekte: </w:t>
      </w:r>
    </w:p>
    <w:p w:rsidR="00A14962" w:rsidRDefault="00702D1A">
      <w:r>
        <w:t>Prilika za sve 7 (pomoćnici u nastavi): spada u izvor 561 Europski socijalni fond plus te</w:t>
      </w:r>
    </w:p>
    <w:p w:rsidR="00A14962" w:rsidRDefault="00702D1A">
      <w:r>
        <w:t>Školska shema mlijeka i voća:  spada u izvor 565 Europski poljoprivredni fond za ruralni razvoj</w:t>
      </w:r>
    </w:p>
    <w:p w:rsidR="00A14962" w:rsidRDefault="00A14962"/>
    <w:sectPr w:rsidR="00A14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62"/>
    <w:rsid w:val="00702D1A"/>
    <w:rsid w:val="00A1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C2872-EDDA-4EA7-B818-1DC82C2A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5814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2026-01-30T09:05:00Z</dcterms:created>
  <dcterms:modified xsi:type="dcterms:W3CDTF">2026-01-30T09:05:00Z</dcterms:modified>
</cp:coreProperties>
</file>